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136B" w14:textId="77777777" w:rsidR="001A1E19" w:rsidRDefault="001A1E19" w:rsidP="004F6968"/>
    <w:p w14:paraId="569EAC30" w14:textId="77777777" w:rsidR="00A1668C" w:rsidRDefault="00A1668C" w:rsidP="00EC349B">
      <w:pPr>
        <w:spacing w:before="100" w:beforeAutospacing="1" w:after="100" w:afterAutospacing="1"/>
      </w:pPr>
      <w:r>
        <w:t>This Holiday Policy</w:t>
      </w:r>
      <w:r w:rsidRPr="004D085F">
        <w:t xml:space="preserve"> provides you with the flexibility to use your </w:t>
      </w:r>
      <w:r>
        <w:t xml:space="preserve">company holiday </w:t>
      </w:r>
      <w:r w:rsidRPr="004D085F">
        <w:t xml:space="preserve">time off to meet your personal needs, while recognizing your individual responsibility to </w:t>
      </w:r>
      <w:r>
        <w:t xml:space="preserve">observe holidays and </w:t>
      </w:r>
      <w:r w:rsidRPr="004D085F">
        <w:t xml:space="preserve">manage your paid time off. </w:t>
      </w:r>
    </w:p>
    <w:p w14:paraId="20408FBF" w14:textId="77777777" w:rsidR="009B03AE" w:rsidRPr="00A1668C" w:rsidRDefault="00EC349B" w:rsidP="00EC349B">
      <w:pPr>
        <w:spacing w:before="100" w:beforeAutospacing="1" w:after="100" w:afterAutospacing="1"/>
      </w:pPr>
      <w:r>
        <w:rPr>
          <w:b/>
          <w:bCs/>
        </w:rPr>
        <w:t xml:space="preserve">Purpose: </w:t>
      </w:r>
    </w:p>
    <w:p w14:paraId="67D751D9" w14:textId="77777777" w:rsidR="00EC349B" w:rsidRDefault="00EC349B" w:rsidP="00EC349B">
      <w:pPr>
        <w:spacing w:before="100" w:beforeAutospacing="1" w:after="100" w:afterAutospacing="1"/>
      </w:pPr>
      <w:r>
        <w:t>To provide Company recognized paid holidays for eligible employees.</w:t>
      </w:r>
    </w:p>
    <w:p w14:paraId="4A6BEC44" w14:textId="77777777" w:rsidR="00EC349B" w:rsidRDefault="00EC349B" w:rsidP="00EC349B">
      <w:pPr>
        <w:rPr>
          <w:b/>
          <w:bCs/>
        </w:rPr>
      </w:pPr>
      <w:r>
        <w:rPr>
          <w:b/>
          <w:bCs/>
        </w:rPr>
        <w:t xml:space="preserve">Policy: </w:t>
      </w:r>
    </w:p>
    <w:p w14:paraId="2953BEE7" w14:textId="77777777" w:rsidR="00EC349B" w:rsidRDefault="00EC349B" w:rsidP="00EC349B">
      <w:pPr>
        <w:rPr>
          <w:b/>
          <w:bCs/>
        </w:rPr>
      </w:pPr>
    </w:p>
    <w:p w14:paraId="0CCF615D" w14:textId="77777777" w:rsidR="00EC349B" w:rsidRDefault="00EC349B" w:rsidP="00EC349B">
      <w:r>
        <w:t xml:space="preserve">The Company recognizes </w:t>
      </w:r>
      <w:r w:rsidR="004D1B78">
        <w:t>(11) eleven</w:t>
      </w:r>
      <w:r>
        <w:t xml:space="preserve"> days during the year as paid holidays for its regular, </w:t>
      </w:r>
      <w:r w:rsidR="000653BD">
        <w:t>full-time</w:t>
      </w:r>
      <w:r>
        <w:t xml:space="preserve"> employees. Those holidays are New Year's Day, </w:t>
      </w:r>
      <w:r w:rsidR="004D1B78">
        <w:t xml:space="preserve">President’s Day, Martin Luther King Day, </w:t>
      </w:r>
      <w:r>
        <w:t xml:space="preserve">Memorial Day, Independence Day, Labor Day, Thanksgiving Day, </w:t>
      </w:r>
      <w:r w:rsidR="004D1B78">
        <w:t xml:space="preserve">the day after Thanksgiving, Christmas Eve, </w:t>
      </w:r>
      <w:r>
        <w:t>Christmas Day</w:t>
      </w:r>
      <w:r w:rsidR="004D1B78">
        <w:t xml:space="preserve"> and New Year’s Eve</w:t>
      </w:r>
      <w:r>
        <w:t>.</w:t>
      </w:r>
    </w:p>
    <w:p w14:paraId="0AD6DE2B" w14:textId="77777777" w:rsidR="00EC349B" w:rsidRDefault="00EC349B" w:rsidP="00EC349B">
      <w:pPr>
        <w:rPr>
          <w:b/>
          <w:bCs/>
        </w:rPr>
      </w:pPr>
    </w:p>
    <w:p w14:paraId="7015BFA1" w14:textId="77777777" w:rsidR="00EC349B" w:rsidRDefault="00EC349B" w:rsidP="00EC349B">
      <w:r>
        <w:rPr>
          <w:b/>
          <w:bCs/>
        </w:rPr>
        <w:t>Guidelines:</w:t>
      </w:r>
    </w:p>
    <w:p w14:paraId="0D65838B" w14:textId="77777777" w:rsidR="00EC349B" w:rsidRDefault="00EC349B" w:rsidP="00EC349B">
      <w:pPr>
        <w:widowControl w:val="0"/>
        <w:numPr>
          <w:ilvl w:val="0"/>
          <w:numId w:val="14"/>
        </w:numPr>
        <w:autoSpaceDE w:val="0"/>
        <w:autoSpaceDN w:val="0"/>
        <w:spacing w:before="100" w:after="100"/>
        <w:outlineLvl w:val="0"/>
      </w:pPr>
      <w:r>
        <w:t>Employees who a</w:t>
      </w:r>
      <w:r w:rsidR="000653BD">
        <w:t>re regularly scheduled to work 3</w:t>
      </w:r>
      <w:r>
        <w:t>0 or more hours per week are eligible for holiday pay.</w:t>
      </w:r>
    </w:p>
    <w:p w14:paraId="0A742F4F" w14:textId="77777777" w:rsidR="00EC349B" w:rsidRDefault="00EC349B" w:rsidP="00EC349B">
      <w:pPr>
        <w:widowControl w:val="0"/>
        <w:numPr>
          <w:ilvl w:val="0"/>
          <w:numId w:val="14"/>
        </w:numPr>
        <w:autoSpaceDE w:val="0"/>
        <w:autoSpaceDN w:val="0"/>
        <w:spacing w:before="100" w:after="100"/>
        <w:outlineLvl w:val="0"/>
      </w:pPr>
      <w:r>
        <w:t>Holiday pay is the regular straight time rate for the number of hours in an average workday.</w:t>
      </w:r>
    </w:p>
    <w:p w14:paraId="2647ABF0" w14:textId="77777777" w:rsidR="00EC349B" w:rsidRDefault="00EC349B" w:rsidP="00EC349B">
      <w:pPr>
        <w:widowControl w:val="0"/>
        <w:numPr>
          <w:ilvl w:val="0"/>
          <w:numId w:val="14"/>
        </w:numPr>
        <w:autoSpaceDE w:val="0"/>
        <w:autoSpaceDN w:val="0"/>
        <w:spacing w:before="100" w:after="100"/>
        <w:outlineLvl w:val="0"/>
      </w:pPr>
      <w:r>
        <w:t xml:space="preserve">An employee must work the day before the holiday and the day following the holiday to be eligible for holiday pay. </w:t>
      </w:r>
    </w:p>
    <w:p w14:paraId="269BDF8B" w14:textId="77777777" w:rsidR="00EC349B" w:rsidRDefault="00EC349B" w:rsidP="00EC349B">
      <w:pPr>
        <w:widowControl w:val="0"/>
        <w:numPr>
          <w:ilvl w:val="0"/>
          <w:numId w:val="14"/>
        </w:numPr>
        <w:autoSpaceDE w:val="0"/>
        <w:autoSpaceDN w:val="0"/>
        <w:spacing w:before="100" w:after="100"/>
        <w:outlineLvl w:val="0"/>
      </w:pPr>
      <w:r>
        <w:t>When the regular holiday falls on Saturday, the preceding Friday shall be considered the Company holiday. When the regular holiday falls on Sunday, the following Monday shall be the Company holiday.</w:t>
      </w:r>
    </w:p>
    <w:p w14:paraId="44DBAAAB" w14:textId="77777777" w:rsidR="00EC349B" w:rsidRDefault="00EC349B" w:rsidP="00EC349B">
      <w:pPr>
        <w:widowControl w:val="0"/>
        <w:numPr>
          <w:ilvl w:val="0"/>
          <w:numId w:val="14"/>
        </w:numPr>
        <w:autoSpaceDE w:val="0"/>
        <w:autoSpaceDN w:val="0"/>
        <w:spacing w:before="100" w:after="100"/>
        <w:outlineLvl w:val="0"/>
      </w:pPr>
      <w:r>
        <w:t xml:space="preserve">Employees are not allowed holiday pay while in an out-of-pay status such as leave of absence or layoff </w:t>
      </w:r>
      <w:r w:rsidR="000653BD">
        <w:t xml:space="preserve">or suspension </w:t>
      </w:r>
      <w:r>
        <w:t xml:space="preserve">or while receiving </w:t>
      </w:r>
      <w:r w:rsidR="009B03AE">
        <w:t>short-term disability payments.</w:t>
      </w:r>
    </w:p>
    <w:p w14:paraId="3A2F2D6D" w14:textId="77777777" w:rsidR="00EC349B" w:rsidRDefault="009B03AE" w:rsidP="00EC349B">
      <w:pPr>
        <w:widowControl w:val="0"/>
        <w:numPr>
          <w:ilvl w:val="0"/>
          <w:numId w:val="14"/>
        </w:numPr>
        <w:autoSpaceDE w:val="0"/>
        <w:autoSpaceDN w:val="0"/>
        <w:spacing w:before="100" w:after="100"/>
        <w:outlineLvl w:val="0"/>
      </w:pPr>
      <w:r>
        <w:t xml:space="preserve">Teacher In-Service Holidays, means the center is closed in observance of the holiday but staff is required to report to work. As such, it is considered a regular </w:t>
      </w:r>
      <w:proofErr w:type="gramStart"/>
      <w:r>
        <w:t>work day</w:t>
      </w:r>
      <w:proofErr w:type="gramEnd"/>
      <w:r>
        <w:t>. To request a Teacher In</w:t>
      </w:r>
      <w:r w:rsidR="000653BD">
        <w:t xml:space="preserve">-Service Holiday off (refer to </w:t>
      </w:r>
      <w:r>
        <w:t>T</w:t>
      </w:r>
      <w:r w:rsidR="000653BD">
        <w:t xml:space="preserve">ime </w:t>
      </w:r>
      <w:r>
        <w:t>O</w:t>
      </w:r>
      <w:r w:rsidR="000653BD">
        <w:t>ff</w:t>
      </w:r>
      <w:r>
        <w:t xml:space="preserve"> Request). Teacher In-Service Holiday is excluded from Holiday Pay.</w:t>
      </w:r>
    </w:p>
    <w:p w14:paraId="3EEE7721" w14:textId="77777777" w:rsidR="001A1E19" w:rsidRDefault="00EC349B" w:rsidP="009B03AE">
      <w:pPr>
        <w:widowControl w:val="0"/>
        <w:numPr>
          <w:ilvl w:val="0"/>
          <w:numId w:val="14"/>
        </w:numPr>
        <w:autoSpaceDE w:val="0"/>
        <w:autoSpaceDN w:val="0"/>
        <w:spacing w:before="100" w:after="100"/>
        <w:outlineLvl w:val="0"/>
      </w:pPr>
      <w:r>
        <w:t>Holiday pay is not to be considered hours worked in the computation of overtime.</w:t>
      </w:r>
      <w:r>
        <w:br/>
      </w:r>
    </w:p>
    <w:p w14:paraId="5D5D003B" w14:textId="77777777" w:rsidR="000653BD" w:rsidRDefault="000653BD" w:rsidP="000653BD">
      <w:pPr>
        <w:widowControl w:val="0"/>
        <w:autoSpaceDE w:val="0"/>
        <w:autoSpaceDN w:val="0"/>
        <w:spacing w:before="100" w:after="100"/>
        <w:ind w:left="360"/>
        <w:outlineLvl w:val="0"/>
      </w:pPr>
      <w:r>
        <w:rPr>
          <w:b/>
        </w:rPr>
        <w:t xml:space="preserve">Note: </w:t>
      </w:r>
      <w:r>
        <w:t>The Center will close the last week of the year December 25-29. December 25</w:t>
      </w:r>
      <w:r w:rsidRPr="000653BD">
        <w:rPr>
          <w:vertAlign w:val="superscript"/>
        </w:rPr>
        <w:t>th</w:t>
      </w:r>
      <w:r>
        <w:t xml:space="preserve"> (Christmas) and December 29</w:t>
      </w:r>
      <w:r w:rsidRPr="000653BD">
        <w:rPr>
          <w:vertAlign w:val="superscript"/>
        </w:rPr>
        <w:t>th</w:t>
      </w:r>
      <w:r>
        <w:t xml:space="preserve"> (New Year’s Eve) are paid holidays. December 26, 27 and 28 are unpaid days.</w:t>
      </w:r>
    </w:p>
    <w:p w14:paraId="53DED011" w14:textId="77777777" w:rsidR="000653BD" w:rsidRPr="000653BD" w:rsidRDefault="000653BD" w:rsidP="000653BD">
      <w:pPr>
        <w:widowControl w:val="0"/>
        <w:autoSpaceDE w:val="0"/>
        <w:autoSpaceDN w:val="0"/>
        <w:spacing w:before="100" w:after="100"/>
        <w:ind w:left="360"/>
        <w:outlineLvl w:val="0"/>
      </w:pPr>
    </w:p>
    <w:sectPr w:rsidR="000653BD" w:rsidRPr="000653BD"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6193" w14:textId="77777777" w:rsidR="00EC796E" w:rsidRDefault="00EC796E">
      <w:r>
        <w:separator/>
      </w:r>
    </w:p>
  </w:endnote>
  <w:endnote w:type="continuationSeparator" w:id="0">
    <w:p w14:paraId="3677C0CA" w14:textId="77777777" w:rsidR="00EC796E" w:rsidRDefault="00EC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B7A2" w14:textId="77777777" w:rsidR="004D1B78" w:rsidRDefault="004D1B78"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8B8E81" w14:textId="77777777" w:rsidR="004D1B78" w:rsidRDefault="004D1B78"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AB17" w14:textId="77777777" w:rsidR="004D1B78" w:rsidRPr="007D476E" w:rsidRDefault="004D1B78" w:rsidP="00726B1B">
    <w:pPr>
      <w:pStyle w:val="Footer"/>
      <w:tabs>
        <w:tab w:val="left" w:pos="9360"/>
      </w:tabs>
      <w:ind w:right="360"/>
      <w:rPr>
        <w:sz w:val="18"/>
      </w:rPr>
    </w:pPr>
    <w:r>
      <w:rPr>
        <w:sz w:val="18"/>
      </w:rPr>
      <w:t>Holiday Policy v1</w:t>
    </w:r>
    <w:r>
      <w:rPr>
        <w:sz w:val="18"/>
      </w:rPr>
      <w:tab/>
    </w:r>
    <w:r>
      <w:rPr>
        <w:sz w:val="18"/>
      </w:rPr>
      <w:tab/>
      <w:t xml:space="preserve">         </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0CF6" w14:textId="77777777" w:rsidR="00EC796E" w:rsidRDefault="00EC796E">
      <w:r>
        <w:separator/>
      </w:r>
    </w:p>
  </w:footnote>
  <w:footnote w:type="continuationSeparator" w:id="0">
    <w:p w14:paraId="0CFFBFA8" w14:textId="77777777" w:rsidR="00EC796E" w:rsidRDefault="00EC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BB41" w14:textId="35293506" w:rsidR="004D1B78" w:rsidRDefault="001202DD" w:rsidP="001202DD">
    <w:pPr>
      <w:tabs>
        <w:tab w:val="left" w:pos="3937"/>
        <w:tab w:val="right" w:pos="9360"/>
      </w:tabs>
      <w:jc w:val="center"/>
      <w:rPr>
        <w:sz w:val="110"/>
        <w:szCs w:val="110"/>
      </w:rPr>
    </w:pPr>
    <w:r>
      <w:rPr>
        <w:noProof/>
        <w:sz w:val="110"/>
        <w:szCs w:val="110"/>
      </w:rPr>
      <w:drawing>
        <wp:inline distT="0" distB="0" distL="0" distR="0" wp14:anchorId="431944E0" wp14:editId="3DC623F4">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p w14:paraId="603F5812" w14:textId="77777777" w:rsidR="004D1B78" w:rsidRPr="007D476E" w:rsidRDefault="004D1B78" w:rsidP="007D476E">
    <w:pPr>
      <w:tabs>
        <w:tab w:val="left" w:pos="3937"/>
        <w:tab w:val="right" w:pos="9360"/>
      </w:tabs>
      <w:jc w:val="center"/>
      <w:rPr>
        <w:rFonts w:ascii="Arial" w:hAnsi="Arial" w:cs="Arial"/>
        <w:b/>
        <w:noProof/>
        <w:sz w:val="32"/>
      </w:rPr>
    </w:pPr>
    <w:r>
      <w:rPr>
        <w:rFonts w:ascii="Arial" w:hAnsi="Arial" w:cs="Arial"/>
        <w:b/>
        <w:noProof/>
        <w:sz w:val="32"/>
      </w:rPr>
      <w:t>HOLIDAY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4"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5"/>
  </w:num>
  <w:num w:numId="6">
    <w:abstractNumId w:val="7"/>
  </w:num>
  <w:num w:numId="7">
    <w:abstractNumId w:val="11"/>
  </w:num>
  <w:num w:numId="8">
    <w:abstractNumId w:val="4"/>
  </w:num>
  <w:num w:numId="9">
    <w:abstractNumId w:val="6"/>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653BD"/>
    <w:rsid w:val="00073AA2"/>
    <w:rsid w:val="000D70A9"/>
    <w:rsid w:val="000F31CA"/>
    <w:rsid w:val="00104116"/>
    <w:rsid w:val="0010510B"/>
    <w:rsid w:val="001202DD"/>
    <w:rsid w:val="0012476C"/>
    <w:rsid w:val="00176A59"/>
    <w:rsid w:val="001A1E19"/>
    <w:rsid w:val="001A3ABD"/>
    <w:rsid w:val="00224432"/>
    <w:rsid w:val="00282206"/>
    <w:rsid w:val="00282F7E"/>
    <w:rsid w:val="002F2A32"/>
    <w:rsid w:val="00304135"/>
    <w:rsid w:val="00337EE8"/>
    <w:rsid w:val="00351F6E"/>
    <w:rsid w:val="00376576"/>
    <w:rsid w:val="003829FC"/>
    <w:rsid w:val="003D4FA1"/>
    <w:rsid w:val="003D650A"/>
    <w:rsid w:val="003D6770"/>
    <w:rsid w:val="003F34E0"/>
    <w:rsid w:val="003F3B77"/>
    <w:rsid w:val="0040618E"/>
    <w:rsid w:val="00435A68"/>
    <w:rsid w:val="004405A4"/>
    <w:rsid w:val="004B7C15"/>
    <w:rsid w:val="004D085F"/>
    <w:rsid w:val="004D1B78"/>
    <w:rsid w:val="004D39D9"/>
    <w:rsid w:val="004D6447"/>
    <w:rsid w:val="004F6968"/>
    <w:rsid w:val="005131EF"/>
    <w:rsid w:val="00535F92"/>
    <w:rsid w:val="00536BA1"/>
    <w:rsid w:val="005F240D"/>
    <w:rsid w:val="00621634"/>
    <w:rsid w:val="00666A46"/>
    <w:rsid w:val="00671F7C"/>
    <w:rsid w:val="00672633"/>
    <w:rsid w:val="00675750"/>
    <w:rsid w:val="00684117"/>
    <w:rsid w:val="006A760B"/>
    <w:rsid w:val="007130D6"/>
    <w:rsid w:val="007220AE"/>
    <w:rsid w:val="00724364"/>
    <w:rsid w:val="00726B1B"/>
    <w:rsid w:val="007A7D93"/>
    <w:rsid w:val="007B36D2"/>
    <w:rsid w:val="007C4554"/>
    <w:rsid w:val="007D476E"/>
    <w:rsid w:val="007E431A"/>
    <w:rsid w:val="00852B7D"/>
    <w:rsid w:val="00856E42"/>
    <w:rsid w:val="008601EE"/>
    <w:rsid w:val="008D4D55"/>
    <w:rsid w:val="00903CB9"/>
    <w:rsid w:val="0091460F"/>
    <w:rsid w:val="009459A1"/>
    <w:rsid w:val="00953010"/>
    <w:rsid w:val="00955968"/>
    <w:rsid w:val="009B03AE"/>
    <w:rsid w:val="00A1668C"/>
    <w:rsid w:val="00A27908"/>
    <w:rsid w:val="00A62661"/>
    <w:rsid w:val="00A65C74"/>
    <w:rsid w:val="00AA5BF3"/>
    <w:rsid w:val="00AA5C3B"/>
    <w:rsid w:val="00AB34E5"/>
    <w:rsid w:val="00AF1F3D"/>
    <w:rsid w:val="00AF6586"/>
    <w:rsid w:val="00B7053C"/>
    <w:rsid w:val="00BA507B"/>
    <w:rsid w:val="00BD4FBB"/>
    <w:rsid w:val="00BE3F44"/>
    <w:rsid w:val="00C47EC6"/>
    <w:rsid w:val="00C52C6B"/>
    <w:rsid w:val="00C57D19"/>
    <w:rsid w:val="00D7522F"/>
    <w:rsid w:val="00DA5D39"/>
    <w:rsid w:val="00E07948"/>
    <w:rsid w:val="00E32C02"/>
    <w:rsid w:val="00E91FD4"/>
    <w:rsid w:val="00E96915"/>
    <w:rsid w:val="00EC349B"/>
    <w:rsid w:val="00EC7272"/>
    <w:rsid w:val="00EC796E"/>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5F159"/>
  <w14:defaultImageDpi w14:val="300"/>
  <w15:chartTrackingRefBased/>
  <w15:docId w15:val="{739E641B-F9F7-5B46-B08E-8315AEA5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2016-05-03T17:55:00Z</cp:lastPrinted>
  <dcterms:created xsi:type="dcterms:W3CDTF">2022-04-05T23:04:00Z</dcterms:created>
  <dcterms:modified xsi:type="dcterms:W3CDTF">2022-04-05T23:04:00Z</dcterms:modified>
</cp:coreProperties>
</file>